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4DFF" w14:textId="77777777" w:rsidR="003E2EB0" w:rsidRPr="00C918ED" w:rsidRDefault="003E2EB0" w:rsidP="003E2EB0">
      <w:pPr>
        <w:spacing w:after="0" w:line="36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C918ED">
        <w:rPr>
          <w:rFonts w:asciiTheme="majorHAnsi" w:hAnsiTheme="majorHAnsi" w:cstheme="majorHAnsi"/>
          <w:b/>
          <w:bCs/>
          <w:sz w:val="32"/>
          <w:szCs w:val="32"/>
        </w:rPr>
        <w:t xml:space="preserve">Key Contextual Information </w:t>
      </w:r>
    </w:p>
    <w:p w14:paraId="6ADE8679" w14:textId="5092C251" w:rsidR="003E2EB0" w:rsidRDefault="003E2EB0" w:rsidP="003E2EB0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409F1A5F" w14:textId="3AF80F25" w:rsidR="00C26334" w:rsidRDefault="00C26334" w:rsidP="00C26334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3E2EB0">
        <w:rPr>
          <w:rFonts w:asciiTheme="majorHAnsi" w:hAnsiTheme="majorHAnsi" w:cstheme="majorHAnsi"/>
          <w:b/>
          <w:bCs/>
          <w:sz w:val="20"/>
          <w:szCs w:val="20"/>
        </w:rPr>
        <w:t>Society in 1912 was divided</w:t>
      </w:r>
      <w:r w:rsidRPr="003E2EB0">
        <w:rPr>
          <w:rFonts w:asciiTheme="majorHAnsi" w:hAnsiTheme="majorHAnsi" w:cstheme="majorHAnsi"/>
          <w:sz w:val="20"/>
          <w:szCs w:val="20"/>
        </w:rPr>
        <w:t xml:space="preserve">: there was a large gap between the rich and the poor.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E2EB0">
        <w:rPr>
          <w:rFonts w:asciiTheme="majorHAnsi" w:hAnsiTheme="majorHAnsi" w:cstheme="majorHAnsi"/>
          <w:sz w:val="20"/>
          <w:szCs w:val="20"/>
        </w:rPr>
        <w:t xml:space="preserve">Roughly 10% of the population controlled 90% of the wealth.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E2EB0">
        <w:rPr>
          <w:rFonts w:asciiTheme="majorHAnsi" w:hAnsiTheme="majorHAnsi" w:cstheme="majorHAnsi"/>
          <w:b/>
          <w:bCs/>
          <w:sz w:val="20"/>
          <w:szCs w:val="20"/>
        </w:rPr>
        <w:t>Gerald and Mrs Birling are part of the aristocracy</w:t>
      </w:r>
      <w:r w:rsidRPr="003E2EB0">
        <w:rPr>
          <w:rFonts w:asciiTheme="majorHAnsi" w:hAnsiTheme="majorHAnsi" w:cstheme="majorHAnsi"/>
          <w:sz w:val="20"/>
          <w:szCs w:val="20"/>
        </w:rPr>
        <w:t xml:space="preserve">, which is to say that they are both from families that have been wealthy for many generations. </w:t>
      </w:r>
      <w:r>
        <w:rPr>
          <w:rFonts w:asciiTheme="majorHAnsi" w:hAnsiTheme="majorHAnsi" w:cstheme="majorHAnsi"/>
          <w:sz w:val="20"/>
          <w:szCs w:val="20"/>
        </w:rPr>
        <w:t xml:space="preserve"> Mr </w:t>
      </w:r>
      <w:r w:rsidRPr="003E2EB0">
        <w:rPr>
          <w:rFonts w:asciiTheme="majorHAnsi" w:hAnsiTheme="majorHAnsi" w:cstheme="majorHAnsi"/>
          <w:sz w:val="20"/>
          <w:szCs w:val="20"/>
        </w:rPr>
        <w:t>Birling is slightly different</w:t>
      </w:r>
      <w:r>
        <w:rPr>
          <w:rFonts w:asciiTheme="majorHAnsi" w:hAnsiTheme="majorHAnsi" w:cstheme="majorHAnsi"/>
          <w:sz w:val="20"/>
          <w:szCs w:val="20"/>
        </w:rPr>
        <w:t>; h</w:t>
      </w:r>
      <w:r w:rsidRPr="003E2EB0">
        <w:rPr>
          <w:rFonts w:asciiTheme="majorHAnsi" w:hAnsiTheme="majorHAnsi" w:cstheme="majorHAnsi"/>
          <w:sz w:val="20"/>
          <w:szCs w:val="20"/>
        </w:rPr>
        <w:t xml:space="preserve">e is part of the emerging upper-middle class because he has made his money </w:t>
      </w:r>
      <w:r w:rsidR="009942E5">
        <w:rPr>
          <w:rFonts w:asciiTheme="majorHAnsi" w:hAnsiTheme="majorHAnsi" w:cstheme="majorHAnsi"/>
          <w:sz w:val="20"/>
          <w:szCs w:val="20"/>
        </w:rPr>
        <w:t>more</w:t>
      </w:r>
      <w:r w:rsidRPr="003E2EB0">
        <w:rPr>
          <w:rFonts w:asciiTheme="majorHAnsi" w:hAnsiTheme="majorHAnsi" w:cstheme="majorHAnsi"/>
          <w:sz w:val="20"/>
          <w:szCs w:val="20"/>
        </w:rPr>
        <w:t xml:space="preserve"> recently.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E2EB0">
        <w:rPr>
          <w:rFonts w:asciiTheme="majorHAnsi" w:hAnsiTheme="majorHAnsi" w:cstheme="majorHAnsi"/>
          <w:sz w:val="20"/>
          <w:szCs w:val="20"/>
        </w:rPr>
        <w:t xml:space="preserve">Think back to his conversation with Gerald about Crofts Limited being both ‘older and bigger than Birling and Company’.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E2EB0">
        <w:rPr>
          <w:rFonts w:asciiTheme="majorHAnsi" w:hAnsiTheme="majorHAnsi" w:cstheme="majorHAnsi"/>
          <w:sz w:val="20"/>
          <w:szCs w:val="20"/>
        </w:rPr>
        <w:t xml:space="preserve">Birling has ‘new’ money, whilst his wife and Gerald have ‘old’ money. </w:t>
      </w:r>
    </w:p>
    <w:p w14:paraId="29358CD9" w14:textId="77777777" w:rsidR="00C26334" w:rsidRPr="003E2EB0" w:rsidRDefault="00C26334" w:rsidP="003E2EB0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56"/>
      </w:tblGrid>
      <w:tr w:rsidR="00C9409D" w14:paraId="34491652" w14:textId="77777777" w:rsidTr="0095520C">
        <w:tc>
          <w:tcPr>
            <w:tcW w:w="5210" w:type="dxa"/>
            <w:vAlign w:val="center"/>
          </w:tcPr>
          <w:p w14:paraId="15DDC39C" w14:textId="07D98060" w:rsidR="00C9409D" w:rsidRDefault="00C9409D" w:rsidP="00B24FA4">
            <w:pPr>
              <w:ind w:left="-109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1E88A4" wp14:editId="0EB9DA75">
                  <wp:extent cx="3168000" cy="2073808"/>
                  <wp:effectExtent l="19050" t="19050" r="13970" b="22225"/>
                  <wp:docPr id="1" name="Picture 1" descr="Women&amp;#39;s roles in Edwardian era of British his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men&amp;#39;s roles in Edwardian era of British histo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32"/>
                          <a:stretch/>
                        </pic:blipFill>
                        <pic:spPr bwMode="auto">
                          <a:xfrm>
                            <a:off x="0" y="0"/>
                            <a:ext cx="3168000" cy="20738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  <w:vAlign w:val="center"/>
          </w:tcPr>
          <w:p w14:paraId="77A5F230" w14:textId="745122BF" w:rsidR="00C9409D" w:rsidRDefault="00503FE9" w:rsidP="00B24FA4">
            <w:pPr>
              <w:ind w:right="-137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869C507" wp14:editId="51DCE6D2">
                  <wp:extent cx="3168000" cy="2074007"/>
                  <wp:effectExtent l="19050" t="19050" r="13970" b="21590"/>
                  <wp:docPr id="4" name="Picture 4" descr="Edwardian Era Society and daily life of the Edwardi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dwardian Era Society and daily life of the Edwardia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16" b="-10"/>
                          <a:stretch/>
                        </pic:blipFill>
                        <pic:spPr bwMode="auto">
                          <a:xfrm>
                            <a:off x="0" y="0"/>
                            <a:ext cx="3168000" cy="20740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1145C1" w14:textId="77777777" w:rsidR="001E1661" w:rsidRPr="00B3585A" w:rsidRDefault="001E1661" w:rsidP="003E2EB0">
      <w:pPr>
        <w:spacing w:after="0"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03FB1F39" w14:textId="1F3E1559" w:rsidR="003E2EB0" w:rsidRDefault="003E2EB0" w:rsidP="003E2EB0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3E2EB0">
        <w:rPr>
          <w:rFonts w:asciiTheme="majorHAnsi" w:hAnsiTheme="majorHAnsi" w:cstheme="majorHAnsi"/>
          <w:b/>
          <w:bCs/>
          <w:sz w:val="20"/>
          <w:szCs w:val="20"/>
        </w:rPr>
        <w:t>Society in 1946 was different</w:t>
      </w:r>
      <w:r w:rsidRPr="003E2EB0">
        <w:rPr>
          <w:rFonts w:asciiTheme="majorHAnsi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5A3B3F">
        <w:rPr>
          <w:rFonts w:asciiTheme="majorHAnsi" w:hAnsiTheme="majorHAnsi" w:cstheme="majorHAnsi"/>
          <w:sz w:val="20"/>
          <w:szCs w:val="20"/>
        </w:rPr>
        <w:t>World War I and II</w:t>
      </w:r>
      <w:r w:rsidRPr="003E2EB0">
        <w:rPr>
          <w:rFonts w:asciiTheme="majorHAnsi" w:hAnsiTheme="majorHAnsi" w:cstheme="majorHAnsi"/>
          <w:sz w:val="20"/>
          <w:szCs w:val="20"/>
        </w:rPr>
        <w:t xml:space="preserve"> resulted in significant financial losses for families like the Birlings.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E267C7">
        <w:rPr>
          <w:rFonts w:asciiTheme="majorHAnsi" w:hAnsiTheme="majorHAnsi" w:cstheme="majorHAnsi"/>
          <w:sz w:val="20"/>
          <w:szCs w:val="20"/>
        </w:rPr>
        <w:t>In addition to this</w:t>
      </w:r>
      <w:r w:rsidRPr="003E2EB0">
        <w:rPr>
          <w:rFonts w:asciiTheme="majorHAnsi" w:hAnsiTheme="majorHAnsi" w:cstheme="majorHAnsi"/>
          <w:sz w:val="20"/>
          <w:szCs w:val="20"/>
        </w:rPr>
        <w:t xml:space="preserve">, the </w:t>
      </w:r>
      <w:r>
        <w:rPr>
          <w:rFonts w:asciiTheme="majorHAnsi" w:hAnsiTheme="majorHAnsi" w:cstheme="majorHAnsi"/>
          <w:sz w:val="20"/>
          <w:szCs w:val="20"/>
        </w:rPr>
        <w:t>w</w:t>
      </w:r>
      <w:r w:rsidRPr="003E2EB0">
        <w:rPr>
          <w:rFonts w:asciiTheme="majorHAnsi" w:hAnsiTheme="majorHAnsi" w:cstheme="majorHAnsi"/>
          <w:sz w:val="20"/>
          <w:szCs w:val="20"/>
        </w:rPr>
        <w:t>ars</w:t>
      </w:r>
      <w:r w:rsidR="00475AB7">
        <w:rPr>
          <w:rFonts w:asciiTheme="majorHAnsi" w:hAnsiTheme="majorHAnsi" w:cstheme="majorHAnsi"/>
          <w:sz w:val="20"/>
          <w:szCs w:val="20"/>
        </w:rPr>
        <w:t xml:space="preserve"> had</w:t>
      </w:r>
      <w:r w:rsidRPr="003E2EB0">
        <w:rPr>
          <w:rFonts w:asciiTheme="majorHAnsi" w:hAnsiTheme="majorHAnsi" w:cstheme="majorHAnsi"/>
          <w:sz w:val="20"/>
          <w:szCs w:val="20"/>
        </w:rPr>
        <w:t xml:space="preserve"> </w:t>
      </w:r>
      <w:r w:rsidR="001E7465">
        <w:rPr>
          <w:rFonts w:asciiTheme="majorHAnsi" w:hAnsiTheme="majorHAnsi" w:cstheme="majorHAnsi"/>
          <w:sz w:val="20"/>
          <w:szCs w:val="20"/>
        </w:rPr>
        <w:t>required</w:t>
      </w:r>
      <w:r w:rsidRPr="003E2EB0">
        <w:rPr>
          <w:rFonts w:asciiTheme="majorHAnsi" w:hAnsiTheme="majorHAnsi" w:cstheme="majorHAnsi"/>
          <w:sz w:val="20"/>
          <w:szCs w:val="20"/>
        </w:rPr>
        <w:t xml:space="preserve"> people from different backgrounds to mix</w:t>
      </w:r>
      <w:r w:rsidR="00BA0F7A">
        <w:rPr>
          <w:rFonts w:asciiTheme="majorHAnsi" w:hAnsiTheme="majorHAnsi" w:cstheme="majorHAnsi"/>
          <w:sz w:val="20"/>
          <w:szCs w:val="20"/>
        </w:rPr>
        <w:t xml:space="preserve"> </w:t>
      </w:r>
      <w:r w:rsidR="00060BFC">
        <w:rPr>
          <w:rFonts w:asciiTheme="majorHAnsi" w:hAnsiTheme="majorHAnsi" w:cstheme="majorHAnsi"/>
          <w:sz w:val="20"/>
          <w:szCs w:val="20"/>
        </w:rPr>
        <w:t>and this help</w:t>
      </w:r>
      <w:r w:rsidR="00150056">
        <w:rPr>
          <w:rFonts w:asciiTheme="majorHAnsi" w:hAnsiTheme="majorHAnsi" w:cstheme="majorHAnsi"/>
          <w:sz w:val="20"/>
          <w:szCs w:val="20"/>
        </w:rPr>
        <w:t>ed</w:t>
      </w:r>
      <w:r w:rsidR="00060BFC">
        <w:rPr>
          <w:rFonts w:asciiTheme="majorHAnsi" w:hAnsiTheme="majorHAnsi" w:cstheme="majorHAnsi"/>
          <w:sz w:val="20"/>
          <w:szCs w:val="20"/>
        </w:rPr>
        <w:t xml:space="preserve"> to change </w:t>
      </w:r>
      <w:r w:rsidR="002231A9">
        <w:rPr>
          <w:rFonts w:asciiTheme="majorHAnsi" w:hAnsiTheme="majorHAnsi" w:cstheme="majorHAnsi"/>
          <w:sz w:val="20"/>
          <w:szCs w:val="20"/>
        </w:rPr>
        <w:t>what were once firm</w:t>
      </w:r>
      <w:r w:rsidR="00150056">
        <w:rPr>
          <w:rFonts w:asciiTheme="majorHAnsi" w:hAnsiTheme="majorHAnsi" w:cstheme="majorHAnsi"/>
          <w:sz w:val="20"/>
          <w:szCs w:val="20"/>
        </w:rPr>
        <w:t>ly established</w:t>
      </w:r>
      <w:r w:rsidR="002231A9">
        <w:rPr>
          <w:rFonts w:asciiTheme="majorHAnsi" w:hAnsiTheme="majorHAnsi" w:cstheme="majorHAnsi"/>
          <w:sz w:val="20"/>
          <w:szCs w:val="20"/>
        </w:rPr>
        <w:t xml:space="preserve"> </w:t>
      </w:r>
      <w:r w:rsidR="00150056">
        <w:rPr>
          <w:rFonts w:asciiTheme="majorHAnsi" w:hAnsiTheme="majorHAnsi" w:cstheme="majorHAnsi"/>
          <w:sz w:val="20"/>
          <w:szCs w:val="20"/>
        </w:rPr>
        <w:t>conventions</w:t>
      </w:r>
      <w:r w:rsidRPr="003E2EB0">
        <w:rPr>
          <w:rFonts w:asciiTheme="majorHAnsi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A20407">
        <w:rPr>
          <w:rFonts w:asciiTheme="majorHAnsi" w:hAnsiTheme="majorHAnsi" w:cstheme="majorHAnsi"/>
          <w:sz w:val="20"/>
          <w:szCs w:val="20"/>
        </w:rPr>
        <w:t>S</w:t>
      </w:r>
      <w:r w:rsidRPr="003E2EB0">
        <w:rPr>
          <w:rFonts w:asciiTheme="majorHAnsi" w:hAnsiTheme="majorHAnsi" w:cstheme="majorHAnsi"/>
          <w:sz w:val="20"/>
          <w:szCs w:val="20"/>
        </w:rPr>
        <w:t xml:space="preserve">ociety was becoming more equal and </w:t>
      </w:r>
      <w:r w:rsidR="00031324">
        <w:rPr>
          <w:rFonts w:asciiTheme="majorHAnsi" w:hAnsiTheme="majorHAnsi" w:cstheme="majorHAnsi"/>
          <w:sz w:val="20"/>
          <w:szCs w:val="20"/>
        </w:rPr>
        <w:t xml:space="preserve">there was </w:t>
      </w:r>
      <w:r w:rsidR="007F3FF1">
        <w:rPr>
          <w:rFonts w:asciiTheme="majorHAnsi" w:hAnsiTheme="majorHAnsi" w:cstheme="majorHAnsi"/>
          <w:sz w:val="20"/>
          <w:szCs w:val="20"/>
        </w:rPr>
        <w:t>widespread desire for further change</w:t>
      </w:r>
      <w:r w:rsidRPr="003E2EB0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4718F6D1" w14:textId="132DA80A" w:rsidR="0089157C" w:rsidRPr="00453CC4" w:rsidRDefault="0089157C" w:rsidP="003E2EB0">
      <w:pPr>
        <w:spacing w:after="0" w:line="36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9157C" w14:paraId="5F3BA45B" w14:textId="77777777" w:rsidTr="0095520C"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23C17AA2" w14:textId="77777777" w:rsidR="0089157C" w:rsidRPr="005418B0" w:rsidRDefault="0089157C" w:rsidP="001A619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219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1912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508A5000" w14:textId="77777777" w:rsidR="0089157C" w:rsidRPr="005418B0" w:rsidRDefault="0089157C" w:rsidP="001A619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219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1914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52BDDD9" w14:textId="77777777" w:rsidR="0089157C" w:rsidRPr="005418B0" w:rsidRDefault="0089157C" w:rsidP="001A619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219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1917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5EEAC378" w14:textId="77777777" w:rsidR="0089157C" w:rsidRPr="005418B0" w:rsidRDefault="0089157C" w:rsidP="001A619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219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1939</w:t>
            </w: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6F59B32C" w14:textId="77777777" w:rsidR="0089157C" w:rsidRPr="005418B0" w:rsidRDefault="0089157C" w:rsidP="001A619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219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1945</w:t>
            </w:r>
          </w:p>
        </w:tc>
      </w:tr>
      <w:tr w:rsidR="0089157C" w14:paraId="0A845E98" w14:textId="77777777" w:rsidTr="0095520C">
        <w:trPr>
          <w:trHeight w:val="454"/>
        </w:trPr>
        <w:tc>
          <w:tcPr>
            <w:tcW w:w="2091" w:type="dxa"/>
            <w:shd w:val="clear" w:color="auto" w:fill="FBFBFB"/>
            <w:vAlign w:val="center"/>
          </w:tcPr>
          <w:p w14:paraId="0E1D1D30" w14:textId="4762A71C" w:rsidR="0089157C" w:rsidRPr="00D2194E" w:rsidRDefault="00343391" w:rsidP="001A619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 Titanic Sinks</w:t>
            </w:r>
          </w:p>
        </w:tc>
        <w:tc>
          <w:tcPr>
            <w:tcW w:w="2091" w:type="dxa"/>
            <w:shd w:val="clear" w:color="auto" w:fill="FBFBFB"/>
            <w:vAlign w:val="center"/>
          </w:tcPr>
          <w:p w14:paraId="0DF58405" w14:textId="70A1B876" w:rsidR="0089157C" w:rsidRPr="00D2194E" w:rsidRDefault="00343391" w:rsidP="001A619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World War I Begins</w:t>
            </w:r>
          </w:p>
        </w:tc>
        <w:tc>
          <w:tcPr>
            <w:tcW w:w="2091" w:type="dxa"/>
            <w:shd w:val="clear" w:color="auto" w:fill="FBFBFB"/>
            <w:vAlign w:val="center"/>
          </w:tcPr>
          <w:p w14:paraId="1ED67588" w14:textId="1C295015" w:rsidR="0089157C" w:rsidRPr="00D2194E" w:rsidRDefault="00343391" w:rsidP="001A619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 Russian Revolution</w:t>
            </w:r>
          </w:p>
        </w:tc>
        <w:tc>
          <w:tcPr>
            <w:tcW w:w="2091" w:type="dxa"/>
            <w:shd w:val="clear" w:color="auto" w:fill="FBFBFB"/>
            <w:vAlign w:val="center"/>
          </w:tcPr>
          <w:p w14:paraId="2467A159" w14:textId="62A954D3" w:rsidR="0089157C" w:rsidRPr="00D2194E" w:rsidRDefault="00343391" w:rsidP="001A619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World War I</w:t>
            </w:r>
            <w:r w:rsidR="00E040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Begins</w:t>
            </w:r>
          </w:p>
        </w:tc>
        <w:tc>
          <w:tcPr>
            <w:tcW w:w="2092" w:type="dxa"/>
            <w:shd w:val="clear" w:color="auto" w:fill="FBFBFB"/>
            <w:vAlign w:val="center"/>
          </w:tcPr>
          <w:p w14:paraId="36A59CFD" w14:textId="7635F2B0" w:rsidR="0089157C" w:rsidRPr="00D2194E" w:rsidRDefault="00343391" w:rsidP="001A619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Labour Party Elected</w:t>
            </w:r>
          </w:p>
        </w:tc>
      </w:tr>
    </w:tbl>
    <w:p w14:paraId="520C3AA9" w14:textId="5C190671" w:rsidR="0089157C" w:rsidRDefault="0089157C" w:rsidP="003E2EB0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</w:p>
    <w:p w14:paraId="73E2F43E" w14:textId="297A311F" w:rsidR="00C3521A" w:rsidRDefault="003E2EB0" w:rsidP="003E2EB0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3E2EB0">
        <w:rPr>
          <w:rFonts w:asciiTheme="majorHAnsi" w:hAnsiTheme="majorHAnsi" w:cstheme="majorHAnsi"/>
          <w:sz w:val="20"/>
          <w:szCs w:val="20"/>
        </w:rPr>
        <w:t xml:space="preserve">As a socialist – someone who believed in social equality – </w:t>
      </w:r>
      <w:r w:rsidRPr="003E2EB0">
        <w:rPr>
          <w:rFonts w:asciiTheme="majorHAnsi" w:hAnsiTheme="majorHAnsi" w:cstheme="majorHAnsi"/>
          <w:b/>
          <w:bCs/>
          <w:sz w:val="20"/>
          <w:szCs w:val="20"/>
        </w:rPr>
        <w:t>Priestley wanted to remind his audience about how bad things were in 1912</w:t>
      </w:r>
      <w:r w:rsidRPr="003E2EB0">
        <w:rPr>
          <w:rFonts w:asciiTheme="majorHAnsi" w:hAnsiTheme="majorHAnsi" w:cstheme="majorHAnsi"/>
          <w:sz w:val="20"/>
          <w:szCs w:val="20"/>
        </w:rPr>
        <w:t xml:space="preserve"> as a way of encouraging them to continue pushing for changes that would result in </w:t>
      </w:r>
      <w:r w:rsidR="00DF42AB">
        <w:rPr>
          <w:rFonts w:asciiTheme="majorHAnsi" w:hAnsiTheme="majorHAnsi" w:cstheme="majorHAnsi"/>
          <w:sz w:val="20"/>
          <w:szCs w:val="20"/>
        </w:rPr>
        <w:t>greater</w:t>
      </w:r>
      <w:r w:rsidRPr="003E2EB0">
        <w:rPr>
          <w:rFonts w:asciiTheme="majorHAnsi" w:hAnsiTheme="majorHAnsi" w:cstheme="majorHAnsi"/>
          <w:sz w:val="20"/>
          <w:szCs w:val="20"/>
        </w:rPr>
        <w:t xml:space="preserve"> freedom and </w:t>
      </w:r>
      <w:r w:rsidR="00DC1B5A">
        <w:rPr>
          <w:rFonts w:asciiTheme="majorHAnsi" w:hAnsiTheme="majorHAnsi" w:cstheme="majorHAnsi"/>
          <w:sz w:val="20"/>
          <w:szCs w:val="20"/>
        </w:rPr>
        <w:t>fairness</w:t>
      </w:r>
      <w:r w:rsidRPr="003E2EB0">
        <w:rPr>
          <w:rFonts w:asciiTheme="majorHAnsi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E2EB0">
        <w:rPr>
          <w:rFonts w:asciiTheme="majorHAnsi" w:hAnsiTheme="majorHAnsi" w:cstheme="majorHAnsi"/>
          <w:sz w:val="20"/>
          <w:szCs w:val="20"/>
        </w:rPr>
        <w:t xml:space="preserve">Always remember as you’re reading the play that Priestley uses </w:t>
      </w:r>
      <w:r w:rsidRPr="003E2EB0">
        <w:rPr>
          <w:rFonts w:asciiTheme="majorHAnsi" w:hAnsiTheme="majorHAnsi" w:cstheme="majorHAnsi"/>
          <w:b/>
          <w:bCs/>
          <w:sz w:val="20"/>
          <w:szCs w:val="20"/>
        </w:rPr>
        <w:t>dramatic irony</w:t>
      </w:r>
      <w:r w:rsidRPr="003E2EB0">
        <w:rPr>
          <w:rFonts w:asciiTheme="majorHAnsi" w:hAnsiTheme="majorHAnsi" w:cstheme="majorHAnsi"/>
          <w:sz w:val="20"/>
          <w:szCs w:val="20"/>
        </w:rPr>
        <w:t xml:space="preserve">: the audience will always know more than the characters on stage.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E2EB0">
        <w:rPr>
          <w:rFonts w:asciiTheme="majorHAnsi" w:hAnsiTheme="majorHAnsi" w:cstheme="majorHAnsi"/>
          <w:sz w:val="20"/>
          <w:szCs w:val="20"/>
        </w:rPr>
        <w:t xml:space="preserve">We know when they make mistakes and we know when they </w:t>
      </w:r>
      <w:r w:rsidR="00E165F7">
        <w:rPr>
          <w:rFonts w:asciiTheme="majorHAnsi" w:hAnsiTheme="majorHAnsi" w:cstheme="majorHAnsi"/>
          <w:sz w:val="20"/>
          <w:szCs w:val="20"/>
        </w:rPr>
        <w:t>behave</w:t>
      </w:r>
      <w:r w:rsidRPr="003E2EB0">
        <w:rPr>
          <w:rFonts w:asciiTheme="majorHAnsi" w:hAnsiTheme="majorHAnsi" w:cstheme="majorHAnsi"/>
          <w:sz w:val="20"/>
          <w:szCs w:val="20"/>
        </w:rPr>
        <w:t xml:space="preserve"> badly.</w:t>
      </w:r>
    </w:p>
    <w:p w14:paraId="220F0BA8" w14:textId="0EE04543" w:rsidR="001E083A" w:rsidRPr="0095520C" w:rsidRDefault="001E083A" w:rsidP="003E2EB0">
      <w:pPr>
        <w:spacing w:after="0" w:line="360" w:lineRule="auto"/>
        <w:rPr>
          <w:rFonts w:asciiTheme="majorHAnsi" w:hAnsiTheme="majorHAnsi" w:cstheme="majorHAnsi"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5256"/>
      </w:tblGrid>
      <w:tr w:rsidR="007C7A2B" w14:paraId="0156160F" w14:textId="77777777" w:rsidTr="0095520C">
        <w:tc>
          <w:tcPr>
            <w:tcW w:w="5205" w:type="dxa"/>
            <w:vAlign w:val="center"/>
          </w:tcPr>
          <w:p w14:paraId="213F05C0" w14:textId="380BF568" w:rsidR="00453CC4" w:rsidRDefault="00C52406" w:rsidP="001A619B">
            <w:pPr>
              <w:ind w:left="-109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BCFF2E5" wp14:editId="4B831DD8">
                  <wp:extent cx="3167380" cy="2065338"/>
                  <wp:effectExtent l="19050" t="19050" r="13970" b="11430"/>
                  <wp:docPr id="7" name="Picture 7" descr="World War I | Holocaust Encyclo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orld War I | Holocaust Encyclop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85"/>
                          <a:stretch/>
                        </pic:blipFill>
                        <pic:spPr bwMode="auto">
                          <a:xfrm>
                            <a:off x="0" y="0"/>
                            <a:ext cx="3168487" cy="20660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vAlign w:val="center"/>
          </w:tcPr>
          <w:p w14:paraId="09CC6547" w14:textId="1B7E94D5" w:rsidR="00453CC4" w:rsidRDefault="007C7A2B" w:rsidP="001A619B">
            <w:pPr>
              <w:ind w:right="-137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A3184C" wp14:editId="14F275D1">
                  <wp:extent cx="3168000" cy="2074615"/>
                  <wp:effectExtent l="19050" t="19050" r="13970" b="20955"/>
                  <wp:docPr id="6" name="Picture 6" descr="Clement Attlee&amp;amp;#39;s election victory (London, 28 July 1945) - CVCE 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ement Attlee&amp;amp;#39;s election victory (London, 28 July 1945) - CVCE Webs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67"/>
                          <a:stretch/>
                        </pic:blipFill>
                        <pic:spPr bwMode="auto">
                          <a:xfrm>
                            <a:off x="0" y="0"/>
                            <a:ext cx="3168000" cy="207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D9ADA4" w14:textId="6EE73688" w:rsidR="00D278A5" w:rsidRPr="0095520C" w:rsidRDefault="00D278A5" w:rsidP="003E2EB0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1"/>
        <w:gridCol w:w="3482"/>
        <w:gridCol w:w="3493"/>
      </w:tblGrid>
      <w:tr w:rsidR="007C7A2B" w14:paraId="39E3CDC7" w14:textId="77777777" w:rsidTr="0095520C">
        <w:trPr>
          <w:trHeight w:val="454"/>
        </w:trPr>
        <w:tc>
          <w:tcPr>
            <w:tcW w:w="34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D7296" w14:textId="77777777" w:rsidR="007C7A2B" w:rsidRDefault="007C7A2B" w:rsidP="001A619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Aristocracy</w:t>
            </w: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1B291" w14:textId="54D58CFC" w:rsidR="007C7A2B" w:rsidRDefault="00343391" w:rsidP="001A619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Capitalism</w:t>
            </w:r>
          </w:p>
        </w:tc>
        <w:tc>
          <w:tcPr>
            <w:tcW w:w="349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DC48DB" w14:textId="087EFA8F" w:rsidR="007C7A2B" w:rsidRDefault="00343391" w:rsidP="001A619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Socialism</w:t>
            </w:r>
          </w:p>
        </w:tc>
      </w:tr>
      <w:tr w:rsidR="007C7A2B" w14:paraId="4C08960A" w14:textId="77777777" w:rsidTr="0095520C">
        <w:trPr>
          <w:trHeight w:val="454"/>
        </w:trPr>
        <w:tc>
          <w:tcPr>
            <w:tcW w:w="3485" w:type="dxa"/>
            <w:shd w:val="clear" w:color="auto" w:fill="FBFBFB"/>
            <w:vAlign w:val="center"/>
          </w:tcPr>
          <w:p w14:paraId="735A2B6C" w14:textId="77777777" w:rsidR="007C7A2B" w:rsidRDefault="007C7A2B" w:rsidP="001A619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Wealth</w:t>
            </w:r>
          </w:p>
        </w:tc>
        <w:tc>
          <w:tcPr>
            <w:tcW w:w="3485" w:type="dxa"/>
            <w:shd w:val="clear" w:color="auto" w:fill="FBFBFB"/>
            <w:vAlign w:val="center"/>
          </w:tcPr>
          <w:p w14:paraId="6540D028" w14:textId="77777777" w:rsidR="007C7A2B" w:rsidRDefault="007C7A2B" w:rsidP="001A619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Poverty</w:t>
            </w:r>
          </w:p>
        </w:tc>
        <w:tc>
          <w:tcPr>
            <w:tcW w:w="3496" w:type="dxa"/>
            <w:shd w:val="clear" w:color="auto" w:fill="FBFBFB"/>
            <w:vAlign w:val="center"/>
          </w:tcPr>
          <w:p w14:paraId="027E8D8A" w14:textId="77777777" w:rsidR="007C7A2B" w:rsidRDefault="007C7A2B" w:rsidP="001A619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Equality</w:t>
            </w:r>
          </w:p>
        </w:tc>
      </w:tr>
    </w:tbl>
    <w:p w14:paraId="45386F65" w14:textId="77777777" w:rsidR="00AA6B8B" w:rsidRPr="0095520C" w:rsidRDefault="00AA6B8B" w:rsidP="0095520C">
      <w:pPr>
        <w:spacing w:after="0" w:line="360" w:lineRule="auto"/>
        <w:rPr>
          <w:rFonts w:asciiTheme="majorHAnsi" w:hAnsiTheme="majorHAnsi" w:cstheme="majorHAnsi"/>
          <w:sz w:val="14"/>
          <w:szCs w:val="14"/>
        </w:rPr>
      </w:pPr>
    </w:p>
    <w:sectPr w:rsidR="00AA6B8B" w:rsidRPr="0095520C" w:rsidSect="00C918E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B0"/>
    <w:rsid w:val="00031324"/>
    <w:rsid w:val="00060BFC"/>
    <w:rsid w:val="000C219C"/>
    <w:rsid w:val="000D237D"/>
    <w:rsid w:val="00150056"/>
    <w:rsid w:val="00196DA2"/>
    <w:rsid w:val="001D711E"/>
    <w:rsid w:val="001E083A"/>
    <w:rsid w:val="001E1661"/>
    <w:rsid w:val="001E44F8"/>
    <w:rsid w:val="001E7465"/>
    <w:rsid w:val="002231A9"/>
    <w:rsid w:val="002608EB"/>
    <w:rsid w:val="002A323D"/>
    <w:rsid w:val="002D3D6A"/>
    <w:rsid w:val="00321432"/>
    <w:rsid w:val="00343391"/>
    <w:rsid w:val="00371EC3"/>
    <w:rsid w:val="003E2EB0"/>
    <w:rsid w:val="00453CC4"/>
    <w:rsid w:val="00475AB7"/>
    <w:rsid w:val="00503FE9"/>
    <w:rsid w:val="005418B0"/>
    <w:rsid w:val="0056456B"/>
    <w:rsid w:val="005A3B3F"/>
    <w:rsid w:val="005B448E"/>
    <w:rsid w:val="005D2736"/>
    <w:rsid w:val="005D2E8A"/>
    <w:rsid w:val="00630D4B"/>
    <w:rsid w:val="006366C3"/>
    <w:rsid w:val="00694087"/>
    <w:rsid w:val="006961F4"/>
    <w:rsid w:val="006A5B47"/>
    <w:rsid w:val="006C1B00"/>
    <w:rsid w:val="006C639F"/>
    <w:rsid w:val="007C7A2B"/>
    <w:rsid w:val="007F3FF1"/>
    <w:rsid w:val="0089157C"/>
    <w:rsid w:val="00911A08"/>
    <w:rsid w:val="0095520C"/>
    <w:rsid w:val="009942E5"/>
    <w:rsid w:val="009D4B9B"/>
    <w:rsid w:val="009F15CC"/>
    <w:rsid w:val="00A058CA"/>
    <w:rsid w:val="00A20407"/>
    <w:rsid w:val="00AA498F"/>
    <w:rsid w:val="00AA6B8B"/>
    <w:rsid w:val="00AF7715"/>
    <w:rsid w:val="00B05DD3"/>
    <w:rsid w:val="00B24FA4"/>
    <w:rsid w:val="00B3585A"/>
    <w:rsid w:val="00B5515C"/>
    <w:rsid w:val="00BA0F7A"/>
    <w:rsid w:val="00C213CD"/>
    <w:rsid w:val="00C26334"/>
    <w:rsid w:val="00C3521A"/>
    <w:rsid w:val="00C52406"/>
    <w:rsid w:val="00C918ED"/>
    <w:rsid w:val="00C9409D"/>
    <w:rsid w:val="00D141AF"/>
    <w:rsid w:val="00D2194E"/>
    <w:rsid w:val="00D278A5"/>
    <w:rsid w:val="00D36EB7"/>
    <w:rsid w:val="00DC1B5A"/>
    <w:rsid w:val="00DF42AB"/>
    <w:rsid w:val="00E00715"/>
    <w:rsid w:val="00E04020"/>
    <w:rsid w:val="00E165F7"/>
    <w:rsid w:val="00E267C7"/>
    <w:rsid w:val="00E33AD9"/>
    <w:rsid w:val="00E34092"/>
    <w:rsid w:val="00E82FF3"/>
    <w:rsid w:val="00F050BE"/>
    <w:rsid w:val="00F24EA6"/>
    <w:rsid w:val="00F8267C"/>
    <w:rsid w:val="00F85CF5"/>
    <w:rsid w:val="00FA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7E51"/>
  <w15:chartTrackingRefBased/>
  <w15:docId w15:val="{4815DBCD-DFF4-4C3A-9890-23DA20CD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78</cp:revision>
  <dcterms:created xsi:type="dcterms:W3CDTF">2022-02-24T19:10:00Z</dcterms:created>
  <dcterms:modified xsi:type="dcterms:W3CDTF">2022-03-02T17:06:00Z</dcterms:modified>
</cp:coreProperties>
</file>